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B0258F" w14:textId="5B2D4191" w:rsidR="0059585C" w:rsidRDefault="005C2BC7" w:rsidP="00D056C1">
      <w:pPr>
        <w:pStyle w:val="DocumentTitle"/>
      </w:pPr>
      <w:r>
        <w:t>[Title]</w:t>
      </w:r>
    </w:p>
    <w:p w14:paraId="23DC3EB9" w14:textId="76EB5388" w:rsidR="0059585C" w:rsidRDefault="0059585C" w:rsidP="00C36E69">
      <w:pPr>
        <w:pStyle w:val="DocumentTitle"/>
        <w:ind w:left="0"/>
        <w:rPr>
          <w:color w:val="323232" w:themeColor="text1"/>
          <w:sz w:val="17"/>
          <w:szCs w:val="17"/>
        </w:rPr>
        <w:sectPr w:rsidR="0059585C" w:rsidSect="00C36E69">
          <w:headerReference w:type="default" r:id="rId11"/>
          <w:footerReference w:type="default" r:id="rId12"/>
          <w:pgSz w:w="11906" w:h="16838"/>
          <w:pgMar w:top="13466" w:right="851" w:bottom="851" w:left="851" w:header="283" w:footer="652" w:gutter="0"/>
          <w:cols w:space="708"/>
          <w:docGrid w:linePitch="360"/>
        </w:sectPr>
      </w:pPr>
    </w:p>
    <w:p w14:paraId="6F6ED19E" w14:textId="7C3D1419" w:rsidR="00C36E69" w:rsidRDefault="00C36E69" w:rsidP="00C36E69">
      <w:pPr>
        <w:pStyle w:val="Heading2"/>
      </w:pPr>
      <w:r>
        <w:lastRenderedPageBreak/>
        <w:t>AI Tool Evaluation Framework</w:t>
      </w:r>
    </w:p>
    <w:p w14:paraId="096C9090" w14:textId="77777777" w:rsidR="00C36E69" w:rsidRDefault="00C36E69" w:rsidP="00C36E69">
      <w:pPr>
        <w:pStyle w:val="Heading3"/>
      </w:pPr>
      <w:r>
        <w:t>Shared decision lens for the AI Team and Chief Risk Officer to evaluate AI tools for use at Alceon</w:t>
      </w:r>
    </w:p>
    <w:p w14:paraId="24F2A906" w14:textId="77777777" w:rsidR="00C36E69" w:rsidRDefault="00C36E69" w:rsidP="00C36E69">
      <w:pPr>
        <w:pStyle w:val="BodyCopy"/>
      </w:pPr>
      <w:r>
        <w:t>Alceon is pursuing an AI-native operating model by end of 2026. This one-pager establishes a shared, lightweight framework so the AI Team and CRO can quickly align on whether a tool is fit for purpose — without lengthy procurement cycles for low-risk use cases, while maintaining rigour for anything touching confidential or regulated data.</w:t>
      </w:r>
    </w:p>
    <w:p w14:paraId="0C4B1450" w14:textId="77777777" w:rsidR="00C36E69" w:rsidRDefault="00C36E69" w:rsidP="00C36E69">
      <w:pPr>
        <w:pStyle w:val="Heading2"/>
      </w:pPr>
      <w:r>
        <w:t>1. Data Classification Tiers</w:t>
      </w:r>
    </w:p>
    <w:p w14:paraId="10E4FBC9" w14:textId="575F506D" w:rsidR="00C36E69" w:rsidRDefault="00C36E69" w:rsidP="005C2BC7">
      <w:pPr>
        <w:pStyle w:val="Heading3"/>
      </w:pPr>
      <w:r>
        <w:t>The single question that determines the approval path: what data will enter the tool?</w:t>
      </w:r>
    </w:p>
    <w:p w14:paraId="3B9C1979" w14:textId="77777777" w:rsidR="00C36E69" w:rsidRDefault="00C36E69" w:rsidP="00C36E69">
      <w:pPr>
        <w:pStyle w:val="Heading2"/>
      </w:pPr>
      <w:r>
        <w:t>2. Evaluation Dimensions (Amber &amp; Red Tools)</w:t>
      </w:r>
    </w:p>
    <w:p w14:paraId="6E8A0D6C" w14:textId="77777777" w:rsidR="00C36E69" w:rsidRDefault="00C36E69" w:rsidP="00C36E69">
      <w:pPr>
        <w:pStyle w:val="Heading3"/>
      </w:pPr>
      <w:r>
        <w:t>For any tool that will handle internal or confidential data, assess against these dimensions.</w:t>
      </w:r>
    </w:p>
    <w:tbl>
      <w:tblPr>
        <w:tblStyle w:val="TableGrid"/>
        <w:tblW w:w="9351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CellMar>
          <w:top w:w="80" w:type="dxa"/>
          <w:left w:w="120" w:type="dxa"/>
          <w:bottom w:w="80" w:type="dxa"/>
          <w:right w:w="120" w:type="dxa"/>
        </w:tblCellMar>
        <w:tblLook w:val="04A0" w:firstRow="1" w:lastRow="0" w:firstColumn="1" w:lastColumn="0" w:noHBand="0" w:noVBand="1"/>
      </w:tblPr>
      <w:tblGrid>
        <w:gridCol w:w="2247"/>
        <w:gridCol w:w="4898"/>
        <w:gridCol w:w="1258"/>
        <w:gridCol w:w="948"/>
      </w:tblGrid>
      <w:tr w:rsidR="00C36E69" w14:paraId="177DDF48" w14:textId="77777777" w:rsidTr="009221E7">
        <w:tc>
          <w:tcPr>
            <w:tcW w:w="2263" w:type="dxa"/>
            <w:shd w:val="clear" w:color="auto" w:fill="00335C"/>
          </w:tcPr>
          <w:p w14:paraId="4131D99A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FFFFFF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FFFFFF"/>
                <w:sz w:val="17"/>
                <w:szCs w:val="17"/>
              </w:rPr>
              <w:t>Dimension</w:t>
            </w:r>
          </w:p>
        </w:tc>
        <w:tc>
          <w:tcPr>
            <w:tcW w:w="4962" w:type="dxa"/>
            <w:shd w:val="clear" w:color="auto" w:fill="00335C"/>
          </w:tcPr>
          <w:p w14:paraId="3075BC0B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FFFFFF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FFFFFF"/>
                <w:sz w:val="17"/>
                <w:szCs w:val="17"/>
              </w:rPr>
              <w:t>What We Assess</w:t>
            </w:r>
          </w:p>
        </w:tc>
        <w:tc>
          <w:tcPr>
            <w:tcW w:w="1263" w:type="dxa"/>
            <w:shd w:val="clear" w:color="auto" w:fill="00335C"/>
          </w:tcPr>
          <w:p w14:paraId="2FBBB655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FFFFFF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FFFFFF"/>
                <w:sz w:val="17"/>
                <w:szCs w:val="17"/>
              </w:rPr>
              <w:t>Amber</w:t>
            </w:r>
          </w:p>
        </w:tc>
        <w:tc>
          <w:tcPr>
            <w:tcW w:w="863" w:type="dxa"/>
            <w:shd w:val="clear" w:color="auto" w:fill="00335C"/>
          </w:tcPr>
          <w:p w14:paraId="4F4EA788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FFFFFF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FFFFFF"/>
                <w:sz w:val="17"/>
                <w:szCs w:val="17"/>
              </w:rPr>
              <w:t>Red</w:t>
            </w:r>
          </w:p>
        </w:tc>
      </w:tr>
      <w:tr w:rsidR="00C36E69" w14:paraId="42AC1308" w14:textId="77777777" w:rsidTr="009221E7">
        <w:tc>
          <w:tcPr>
            <w:tcW w:w="2263" w:type="dxa"/>
          </w:tcPr>
          <w:p w14:paraId="52EB7C96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  <w:t>Data Residency</w:t>
            </w:r>
          </w:p>
        </w:tc>
        <w:tc>
          <w:tcPr>
            <w:tcW w:w="4962" w:type="dxa"/>
          </w:tcPr>
          <w:p w14:paraId="2F175F82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Where is data processed and stored? AU or compliant jurisdiction.</w:t>
            </w:r>
          </w:p>
        </w:tc>
        <w:tc>
          <w:tcPr>
            <w:tcW w:w="1263" w:type="dxa"/>
          </w:tcPr>
          <w:p w14:paraId="2EB7CFFA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Preferred</w:t>
            </w:r>
          </w:p>
        </w:tc>
        <w:tc>
          <w:tcPr>
            <w:tcW w:w="863" w:type="dxa"/>
          </w:tcPr>
          <w:p w14:paraId="5CB263D0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</w:tr>
      <w:tr w:rsidR="00C36E69" w14:paraId="0195321C" w14:textId="77777777" w:rsidTr="009221E7">
        <w:tc>
          <w:tcPr>
            <w:tcW w:w="2263" w:type="dxa"/>
          </w:tcPr>
          <w:p w14:paraId="5E62E608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  <w:t>Training Opt-Out</w:t>
            </w:r>
          </w:p>
        </w:tc>
        <w:tc>
          <w:tcPr>
            <w:tcW w:w="4962" w:type="dxa"/>
          </w:tcPr>
          <w:p w14:paraId="131FAFBA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Vendor confirms inputs are not used to train models.</w:t>
            </w:r>
          </w:p>
        </w:tc>
        <w:tc>
          <w:tcPr>
            <w:tcW w:w="1263" w:type="dxa"/>
          </w:tcPr>
          <w:p w14:paraId="41A53ED9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  <w:tc>
          <w:tcPr>
            <w:tcW w:w="863" w:type="dxa"/>
          </w:tcPr>
          <w:p w14:paraId="7B68E139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</w:tr>
      <w:tr w:rsidR="00C36E69" w14:paraId="1A93DF49" w14:textId="77777777" w:rsidTr="009221E7">
        <w:tc>
          <w:tcPr>
            <w:tcW w:w="2263" w:type="dxa"/>
          </w:tcPr>
          <w:p w14:paraId="53B00CF3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  <w:t>Security Certifications</w:t>
            </w:r>
          </w:p>
        </w:tc>
        <w:tc>
          <w:tcPr>
            <w:tcW w:w="4962" w:type="dxa"/>
          </w:tcPr>
          <w:p w14:paraId="23EDA9A3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SOC 2 Type II, ISO 27001, or equivalent.</w:t>
            </w:r>
          </w:p>
        </w:tc>
        <w:tc>
          <w:tcPr>
            <w:tcW w:w="1263" w:type="dxa"/>
          </w:tcPr>
          <w:p w14:paraId="6F918B9B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Preferred</w:t>
            </w:r>
          </w:p>
        </w:tc>
        <w:tc>
          <w:tcPr>
            <w:tcW w:w="863" w:type="dxa"/>
          </w:tcPr>
          <w:p w14:paraId="3DA5BEC2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</w:tr>
      <w:tr w:rsidR="00C36E69" w14:paraId="0CDE63C3" w14:textId="77777777" w:rsidTr="009221E7">
        <w:tc>
          <w:tcPr>
            <w:tcW w:w="2263" w:type="dxa"/>
          </w:tcPr>
          <w:p w14:paraId="35E9BFF3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  <w:t>Access Controls</w:t>
            </w:r>
          </w:p>
        </w:tc>
        <w:tc>
          <w:tcPr>
            <w:tcW w:w="4962" w:type="dxa"/>
          </w:tcPr>
          <w:p w14:paraId="63758B3E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SSO / MFA integration and role-based access.</w:t>
            </w:r>
          </w:p>
        </w:tc>
        <w:tc>
          <w:tcPr>
            <w:tcW w:w="1263" w:type="dxa"/>
          </w:tcPr>
          <w:p w14:paraId="2F6BABAE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Preferred</w:t>
            </w:r>
          </w:p>
        </w:tc>
        <w:tc>
          <w:tcPr>
            <w:tcW w:w="863" w:type="dxa"/>
          </w:tcPr>
          <w:p w14:paraId="50A60A1A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</w:tr>
      <w:tr w:rsidR="00C36E69" w14:paraId="147A4181" w14:textId="77777777" w:rsidTr="009221E7">
        <w:tc>
          <w:tcPr>
            <w:tcW w:w="2263" w:type="dxa"/>
          </w:tcPr>
          <w:p w14:paraId="4AA5DAEC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  <w:t>Audit &amp; Logging</w:t>
            </w:r>
          </w:p>
        </w:tc>
        <w:tc>
          <w:tcPr>
            <w:tcW w:w="4962" w:type="dxa"/>
          </w:tcPr>
          <w:p w14:paraId="57CC7A95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Activity logs available for compliance review.</w:t>
            </w:r>
          </w:p>
        </w:tc>
        <w:tc>
          <w:tcPr>
            <w:tcW w:w="1263" w:type="dxa"/>
          </w:tcPr>
          <w:p w14:paraId="5A8780B7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Preferred</w:t>
            </w:r>
          </w:p>
        </w:tc>
        <w:tc>
          <w:tcPr>
            <w:tcW w:w="863" w:type="dxa"/>
          </w:tcPr>
          <w:p w14:paraId="1B61DD7A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</w:tr>
      <w:tr w:rsidR="00C36E69" w14:paraId="3A27F60E" w14:textId="77777777" w:rsidTr="009221E7">
        <w:tc>
          <w:tcPr>
            <w:tcW w:w="2263" w:type="dxa"/>
          </w:tcPr>
          <w:p w14:paraId="312F9D79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  <w:t>Data Processing Agreement</w:t>
            </w:r>
          </w:p>
        </w:tc>
        <w:tc>
          <w:tcPr>
            <w:tcW w:w="4962" w:type="dxa"/>
          </w:tcPr>
          <w:p w14:paraId="0AB8F9DC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Executed DPA with acceptable terms.</w:t>
            </w:r>
          </w:p>
        </w:tc>
        <w:tc>
          <w:tcPr>
            <w:tcW w:w="1263" w:type="dxa"/>
          </w:tcPr>
          <w:p w14:paraId="75562AA9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Preferred</w:t>
            </w:r>
          </w:p>
        </w:tc>
        <w:tc>
          <w:tcPr>
            <w:tcW w:w="863" w:type="dxa"/>
          </w:tcPr>
          <w:p w14:paraId="05AF8903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</w:tr>
      <w:tr w:rsidR="00C36E69" w14:paraId="0ACA1D39" w14:textId="77777777" w:rsidTr="009221E7">
        <w:tc>
          <w:tcPr>
            <w:tcW w:w="2263" w:type="dxa"/>
          </w:tcPr>
          <w:p w14:paraId="2A17593E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  <w:t>Regulatory Alignment</w:t>
            </w:r>
          </w:p>
        </w:tc>
        <w:tc>
          <w:tcPr>
            <w:tcW w:w="4962" w:type="dxa"/>
          </w:tcPr>
          <w:p w14:paraId="5CC7776A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Consistent with Privacy Act, APRA guidance, AFSL obligations.</w:t>
            </w:r>
          </w:p>
        </w:tc>
        <w:tc>
          <w:tcPr>
            <w:tcW w:w="1263" w:type="dxa"/>
          </w:tcPr>
          <w:p w14:paraId="6B3CF9D1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  <w:tc>
          <w:tcPr>
            <w:tcW w:w="863" w:type="dxa"/>
          </w:tcPr>
          <w:p w14:paraId="1D48BEBD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</w:tr>
      <w:tr w:rsidR="00C36E69" w14:paraId="59307C26" w14:textId="77777777" w:rsidTr="009221E7">
        <w:tc>
          <w:tcPr>
            <w:tcW w:w="2263" w:type="dxa"/>
          </w:tcPr>
          <w:p w14:paraId="06CFCEE7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  <w:t>Vendor Viability</w:t>
            </w:r>
          </w:p>
        </w:tc>
        <w:tc>
          <w:tcPr>
            <w:tcW w:w="4962" w:type="dxa"/>
          </w:tcPr>
          <w:p w14:paraId="6D413A6C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Established vendor with clear business model; not early beta.</w:t>
            </w:r>
          </w:p>
        </w:tc>
        <w:tc>
          <w:tcPr>
            <w:tcW w:w="1263" w:type="dxa"/>
          </w:tcPr>
          <w:p w14:paraId="7A6B3E83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Preferred</w:t>
            </w:r>
          </w:p>
        </w:tc>
        <w:tc>
          <w:tcPr>
            <w:tcW w:w="863" w:type="dxa"/>
          </w:tcPr>
          <w:p w14:paraId="7F4A1C66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</w:tr>
      <w:tr w:rsidR="00C36E69" w14:paraId="0591DDDF" w14:textId="77777777" w:rsidTr="009221E7">
        <w:tc>
          <w:tcPr>
            <w:tcW w:w="2263" w:type="dxa"/>
          </w:tcPr>
          <w:p w14:paraId="3417AAD4" w14:textId="77777777" w:rsidR="00C36E69" w:rsidRDefault="00C36E69" w:rsidP="00653DF8">
            <w:pP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</w:pPr>
            <w: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  <w:t xml:space="preserve">Exit / </w:t>
            </w:r>
            <w:proofErr w:type="gramStart"/>
            <w:r>
              <w:rPr>
                <w:rFonts w:ascii="Onest SemiBold" w:hAnsi="Onest SemiBold"/>
                <w:b/>
                <w:bCs/>
                <w:color w:val="323232"/>
                <w:sz w:val="17"/>
                <w:szCs w:val="17"/>
              </w:rPr>
              <w:t>Off-boarding</w:t>
            </w:r>
            <w:proofErr w:type="gramEnd"/>
          </w:p>
        </w:tc>
        <w:tc>
          <w:tcPr>
            <w:tcW w:w="4962" w:type="dxa"/>
          </w:tcPr>
          <w:p w14:paraId="0B014582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Data can be exported and deleted on termination.</w:t>
            </w:r>
          </w:p>
        </w:tc>
        <w:tc>
          <w:tcPr>
            <w:tcW w:w="1263" w:type="dxa"/>
          </w:tcPr>
          <w:p w14:paraId="4AD4526F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  <w:tc>
          <w:tcPr>
            <w:tcW w:w="863" w:type="dxa"/>
          </w:tcPr>
          <w:p w14:paraId="4E6B4DBB" w14:textId="77777777" w:rsidR="00C36E69" w:rsidRDefault="00C36E69" w:rsidP="00653DF8">
            <w:pPr>
              <w:rPr>
                <w:color w:val="323232"/>
                <w:sz w:val="17"/>
                <w:szCs w:val="17"/>
              </w:rPr>
            </w:pPr>
            <w:r>
              <w:rPr>
                <w:color w:val="323232"/>
                <w:sz w:val="17"/>
                <w:szCs w:val="17"/>
              </w:rPr>
              <w:t>Required</w:t>
            </w:r>
          </w:p>
        </w:tc>
      </w:tr>
    </w:tbl>
    <w:p w14:paraId="47F96CCF" w14:textId="77777777" w:rsidR="00C36E69" w:rsidRDefault="00C36E69" w:rsidP="00C36E69">
      <w:pPr>
        <w:pStyle w:val="BodyCopy"/>
      </w:pPr>
    </w:p>
    <w:p w14:paraId="46D00EE6" w14:textId="77777777" w:rsidR="00C36E69" w:rsidRDefault="00C36E69" w:rsidP="00C36E69">
      <w:pPr>
        <w:pStyle w:val="Heading2"/>
      </w:pPr>
      <w:r>
        <w:t>3. Non-Negotiables</w:t>
      </w:r>
    </w:p>
    <w:p w14:paraId="36D87542" w14:textId="77777777" w:rsidR="00C36E69" w:rsidRDefault="00C36E69" w:rsidP="00C36E69">
      <w:pPr>
        <w:pStyle w:val="BodyCopy"/>
      </w:pPr>
      <w:r>
        <w:rPr>
          <w:rFonts w:ascii="Onest SemiBold" w:hAnsi="Onest SemiBold"/>
          <w:b/>
          <w:bCs/>
        </w:rPr>
        <w:t>1. Human-in-the-Loop:</w:t>
      </w:r>
      <w:r>
        <w:t xml:space="preserve"> No AI output goes to a client, investor, counterparty, or regulator without qualified human review.</w:t>
      </w:r>
    </w:p>
    <w:p w14:paraId="29172771" w14:textId="77777777" w:rsidR="00C36E69" w:rsidRDefault="00C36E69" w:rsidP="00C36E69">
      <w:pPr>
        <w:pStyle w:val="BodyCopy"/>
      </w:pPr>
      <w:r>
        <w:rPr>
          <w:rFonts w:ascii="Onest SemiBold" w:hAnsi="Onest SemiBold"/>
          <w:b/>
          <w:bCs/>
        </w:rPr>
        <w:t>2. No Confidential Data in Free Tools:</w:t>
      </w:r>
      <w:r>
        <w:t xml:space="preserve"> Consumer-grade or free-tier products must never touch Amber or Red data.</w:t>
      </w:r>
    </w:p>
    <w:p w14:paraId="7850D1F2" w14:textId="77777777" w:rsidR="00C36E69" w:rsidRDefault="00C36E69" w:rsidP="00C36E69">
      <w:pPr>
        <w:pStyle w:val="BodyCopy"/>
      </w:pPr>
      <w:r>
        <w:rPr>
          <w:rFonts w:ascii="Onest SemiBold" w:hAnsi="Onest SemiBold"/>
          <w:b/>
          <w:bCs/>
        </w:rPr>
        <w:t>3. Accountability Sits with the User:</w:t>
      </w:r>
      <w:r>
        <w:t xml:space="preserve"> The person using the tool owns the accuracy, compliance, and appropriateness of the output.</w:t>
      </w:r>
    </w:p>
    <w:p w14:paraId="4F931E15" w14:textId="77777777" w:rsidR="00C36E69" w:rsidRDefault="00C36E69" w:rsidP="00C36E69">
      <w:pPr>
        <w:pStyle w:val="BodyCopy"/>
      </w:pPr>
      <w:r>
        <w:rPr>
          <w:rFonts w:ascii="Onest SemiBold" w:hAnsi="Onest SemiBold"/>
          <w:b/>
          <w:bCs/>
        </w:rPr>
        <w:t>4. Approved Tool List:</w:t>
      </w:r>
      <w:r>
        <w:t xml:space="preserve"> A living register of vetted tools maintained by the AI Team, reviewed quarterly with the CRO.</w:t>
      </w:r>
    </w:p>
    <w:p w14:paraId="59F5FE7E" w14:textId="77777777" w:rsidR="00C36E69" w:rsidRDefault="00C36E69" w:rsidP="00C36E69">
      <w:pPr>
        <w:pStyle w:val="BodyCopy"/>
      </w:pPr>
    </w:p>
    <w:p w14:paraId="4D311312" w14:textId="77777777" w:rsidR="00C36E69" w:rsidRDefault="00C36E69" w:rsidP="00C36E69">
      <w:pPr>
        <w:pStyle w:val="Heading2"/>
      </w:pPr>
      <w:r>
        <w:t>4. Decision Flow</w:t>
      </w:r>
    </w:p>
    <w:p w14:paraId="6EB57792" w14:textId="77777777" w:rsidR="00C36E69" w:rsidRDefault="00C36E69" w:rsidP="00C36E69">
      <w:pPr>
        <w:pStyle w:val="BodyCopy"/>
      </w:pPr>
      <w:r>
        <w:t>Identify tier → Green: proceed | Amber/Red: assess against dimensions above → All “Required” items met? → Yes: approve and add to Approved Tool List | No: reject or escalate for risk acceptance.</w:t>
      </w:r>
    </w:p>
    <w:p w14:paraId="0C2A4EAC" w14:textId="77777777" w:rsidR="007854C0" w:rsidRDefault="007854C0">
      <w:pPr>
        <w:rPr>
          <w:color w:val="323232" w:themeColor="text1"/>
          <w:sz w:val="17"/>
          <w:szCs w:val="17"/>
        </w:rPr>
        <w:sectPr w:rsidR="007854C0" w:rsidSect="00C36E69">
          <w:headerReference w:type="default" r:id="rId13"/>
          <w:footerReference w:type="default" r:id="rId14"/>
          <w:pgSz w:w="11906" w:h="16838"/>
          <w:pgMar w:top="1440" w:right="1440" w:bottom="1440" w:left="1440" w:header="690" w:footer="653" w:gutter="0"/>
          <w:cols w:space="708"/>
          <w:docGrid w:linePitch="360"/>
        </w:sectPr>
      </w:pPr>
    </w:p>
    <w:p w14:paraId="0A000320" w14:textId="6CFB184A" w:rsidR="00565C0A" w:rsidRDefault="00565C0A" w:rsidP="00C36E69">
      <w:pPr>
        <w:pStyle w:val="Heading2"/>
      </w:pPr>
    </w:p>
    <w:sectPr w:rsidR="00565C0A" w:rsidSect="00D473B4">
      <w:headerReference w:type="default" r:id="rId15"/>
      <w:footerReference w:type="default" r:id="rId16"/>
      <w:pgSz w:w="11906" w:h="16838"/>
      <w:pgMar w:top="2835" w:right="851" w:bottom="1418" w:left="851" w:header="690" w:footer="65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0DBF3A" w14:textId="77777777" w:rsidR="00565C0A" w:rsidRDefault="00565C0A" w:rsidP="00BC1477">
      <w:r>
        <w:separator/>
      </w:r>
    </w:p>
  </w:endnote>
  <w:endnote w:type="continuationSeparator" w:id="0">
    <w:p w14:paraId="3C500C35" w14:textId="77777777" w:rsidR="00565C0A" w:rsidRDefault="00565C0A" w:rsidP="00BC14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nest">
    <w:altName w:val="Calibri"/>
    <w:panose1 w:val="00000000000000000000"/>
    <w:charset w:val="00"/>
    <w:family w:val="auto"/>
    <w:pitch w:val="variable"/>
    <w:sig w:usb0="A000026F" w:usb1="0000806A" w:usb2="00000000" w:usb3="00000000" w:csb0="00000097" w:csb1="00000000"/>
    <w:embedRegular r:id="rId1" w:fontKey="{8F915F55-AF4F-4EE5-A6AB-3AEAE99B1BD7}"/>
    <w:embedBold r:id="rId2" w:fontKey="{68F74336-8AD6-44C0-9E8E-9C2E9E45E5EB}"/>
    <w:embedItalic r:id="rId3" w:fontKey="{E4397275-122F-4C83-A8A0-E3203F5A4054}"/>
  </w:font>
  <w:font w:name="Onest SemiBold">
    <w:altName w:val="Calibri"/>
    <w:panose1 w:val="00000000000000000000"/>
    <w:charset w:val="00"/>
    <w:family w:val="auto"/>
    <w:pitch w:val="variable"/>
    <w:sig w:usb0="A000026F" w:usb1="0000806A" w:usb2="00000000" w:usb3="00000000" w:csb0="00000097" w:csb1="00000000"/>
    <w:embedRegular r:id="rId4" w:fontKey="{C55DC432-7161-4DCE-AD97-823D6AE75429}"/>
    <w:embedBold r:id="rId5" w:fontKey="{CBFA6A91-1522-4010-8289-E2D2EF641CBA}"/>
  </w:font>
  <w:font w:name="Times New Roman (Headings CS)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B56761" w14:textId="0FAC9D02" w:rsidR="00C36E69" w:rsidRPr="00C36E69" w:rsidRDefault="00C36E69" w:rsidP="00C36E69">
    <w:pPr>
      <w:pStyle w:val="Footer"/>
      <w:tabs>
        <w:tab w:val="clear" w:pos="4513"/>
        <w:tab w:val="clear" w:pos="9026"/>
        <w:tab w:val="left" w:pos="1170"/>
      </w:tabs>
      <w:ind w:right="-2"/>
      <w:rPr>
        <w:color w:val="989898" w:themeColor="text1" w:themeTint="80"/>
        <w:sz w:val="17"/>
        <w:szCs w:val="17"/>
      </w:rPr>
    </w:pPr>
    <w:r>
      <w:rPr>
        <w:color w:val="989898" w:themeColor="text1" w:themeTint="80"/>
        <w:sz w:val="17"/>
        <w:szCs w:val="17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3A651C" w14:textId="77777777" w:rsidR="00C36E69" w:rsidRPr="00D473B4" w:rsidRDefault="00C36E69" w:rsidP="00C36E69">
    <w:pPr>
      <w:pStyle w:val="Footer"/>
      <w:tabs>
        <w:tab w:val="clear" w:pos="4513"/>
        <w:tab w:val="clear" w:pos="9026"/>
        <w:tab w:val="left" w:pos="709"/>
        <w:tab w:val="left" w:pos="9498"/>
      </w:tabs>
      <w:ind w:right="-2"/>
      <w:rPr>
        <w:color w:val="989898" w:themeColor="text1" w:themeTint="80"/>
        <w:sz w:val="17"/>
        <w:szCs w:val="17"/>
      </w:rPr>
    </w:pPr>
    <w:r>
      <w:rPr>
        <w:color w:val="00457C" w:themeColor="accent1"/>
        <w:sz w:val="20"/>
        <w:szCs w:val="20"/>
      </w:rPr>
      <w:t xml:space="preserve">Alceon AI Evaluation Framework </w:t>
    </w:r>
    <w:r w:rsidRPr="00D473B4">
      <w:rPr>
        <w:color w:val="00457C" w:themeColor="accent1"/>
        <w:sz w:val="20"/>
        <w:szCs w:val="20"/>
      </w:rPr>
      <w:t>/</w:t>
    </w:r>
    <w:r>
      <w:rPr>
        <w:rFonts w:ascii="Onest SemiBold" w:hAnsi="Onest SemiBold"/>
        <w:b/>
        <w:bCs/>
        <w:color w:val="00457C" w:themeColor="accent1"/>
        <w:sz w:val="20"/>
        <w:szCs w:val="20"/>
      </w:rPr>
      <w:t xml:space="preserve"> </w:t>
    </w:r>
    <w:r w:rsidRPr="00D473B4">
      <w:rPr>
        <w:rFonts w:ascii="Onest SemiBold" w:hAnsi="Onest SemiBold"/>
        <w:color w:val="00457C" w:themeColor="accent1"/>
        <w:sz w:val="20"/>
        <w:szCs w:val="20"/>
      </w:rPr>
      <w:t>alceon.com.au</w:t>
    </w:r>
  </w:p>
  <w:p w14:paraId="2145D943" w14:textId="77777777" w:rsidR="00C36E69" w:rsidRPr="00C36E69" w:rsidRDefault="00C36E69" w:rsidP="00C36E69">
    <w:pPr>
      <w:pStyle w:val="Footer"/>
      <w:tabs>
        <w:tab w:val="clear" w:pos="4513"/>
        <w:tab w:val="clear" w:pos="9026"/>
        <w:tab w:val="left" w:pos="709"/>
        <w:tab w:val="left" w:pos="9498"/>
      </w:tabs>
      <w:ind w:right="-2"/>
      <w:rPr>
        <w:color w:val="989898" w:themeColor="text1" w:themeTint="80"/>
        <w:sz w:val="17"/>
        <w:szCs w:val="17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00AD35" w14:textId="6F0C3812" w:rsidR="00566F95" w:rsidRPr="00D473B4" w:rsidRDefault="00C36E69" w:rsidP="00E06BF0">
    <w:pPr>
      <w:pStyle w:val="Footer"/>
      <w:tabs>
        <w:tab w:val="clear" w:pos="4513"/>
        <w:tab w:val="clear" w:pos="9026"/>
        <w:tab w:val="left" w:pos="709"/>
        <w:tab w:val="left" w:pos="9498"/>
      </w:tabs>
      <w:ind w:right="-2"/>
      <w:rPr>
        <w:color w:val="989898" w:themeColor="text1" w:themeTint="80"/>
        <w:sz w:val="17"/>
        <w:szCs w:val="17"/>
      </w:rPr>
    </w:pPr>
    <w:r>
      <w:rPr>
        <w:color w:val="00457C" w:themeColor="accent1"/>
        <w:sz w:val="20"/>
        <w:szCs w:val="20"/>
      </w:rPr>
      <w:t xml:space="preserve">Alceon AI Evaluation Framework </w:t>
    </w:r>
    <w:r w:rsidR="0078270A" w:rsidRPr="00D473B4">
      <w:rPr>
        <w:color w:val="00457C" w:themeColor="accent1"/>
        <w:sz w:val="20"/>
        <w:szCs w:val="20"/>
      </w:rPr>
      <w:t>/</w:t>
    </w:r>
    <w:r>
      <w:rPr>
        <w:rFonts w:ascii="Onest SemiBold" w:hAnsi="Onest SemiBold"/>
        <w:b/>
        <w:bCs/>
        <w:color w:val="00457C" w:themeColor="accent1"/>
        <w:sz w:val="20"/>
        <w:szCs w:val="20"/>
      </w:rPr>
      <w:t xml:space="preserve"> </w:t>
    </w:r>
    <w:r w:rsidR="0078270A" w:rsidRPr="00D473B4">
      <w:rPr>
        <w:rFonts w:ascii="Onest SemiBold" w:hAnsi="Onest SemiBold"/>
        <w:color w:val="00457C" w:themeColor="accent1"/>
        <w:sz w:val="20"/>
        <w:szCs w:val="20"/>
      </w:rPr>
      <w:t>alceon.com.au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FD124D" w14:textId="77777777" w:rsidR="00565C0A" w:rsidRDefault="00565C0A" w:rsidP="00BC1477">
      <w:r>
        <w:separator/>
      </w:r>
    </w:p>
  </w:footnote>
  <w:footnote w:type="continuationSeparator" w:id="0">
    <w:p w14:paraId="6EDFAB71" w14:textId="77777777" w:rsidR="00565C0A" w:rsidRDefault="00565C0A" w:rsidP="00BC14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8F4ED" w14:textId="77777777" w:rsidR="0059585C" w:rsidRPr="00BC1477" w:rsidRDefault="0059585C" w:rsidP="00BC1477">
    <w:pPr>
      <w:pStyle w:val="Header"/>
      <w:rPr>
        <w:color w:val="6961FF" w:themeColor="accent5"/>
      </w:rPr>
    </w:pPr>
    <w:r w:rsidRPr="009F2853">
      <w:rPr>
        <w:noProof/>
        <w:color w:val="FFFFFF" w:themeColor="background1"/>
        <w:sz w:val="17"/>
        <w:szCs w:val="17"/>
      </w:rPr>
      <w:drawing>
        <wp:anchor distT="0" distB="0" distL="114300" distR="114300" simplePos="0" relativeHeight="251667456" behindDoc="1" locked="0" layoutInCell="1" allowOverlap="1" wp14:anchorId="165E906C" wp14:editId="534BAF14">
          <wp:simplePos x="0" y="0"/>
          <wp:positionH relativeFrom="column">
            <wp:posOffset>-540385</wp:posOffset>
          </wp:positionH>
          <wp:positionV relativeFrom="page">
            <wp:posOffset>0</wp:posOffset>
          </wp:positionV>
          <wp:extent cx="7559641" cy="10697844"/>
          <wp:effectExtent l="0" t="0" r="0" b="0"/>
          <wp:wrapNone/>
          <wp:docPr id="73828438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5308844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9641" cy="1069784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8480" behindDoc="1" locked="0" layoutInCell="1" allowOverlap="1" wp14:anchorId="0EB5C24F" wp14:editId="6DEC1435">
          <wp:simplePos x="0" y="0"/>
          <wp:positionH relativeFrom="column">
            <wp:posOffset>5117465</wp:posOffset>
          </wp:positionH>
          <wp:positionV relativeFrom="page">
            <wp:posOffset>196007</wp:posOffset>
          </wp:positionV>
          <wp:extent cx="1648460" cy="1005711"/>
          <wp:effectExtent l="0" t="0" r="0" b="0"/>
          <wp:wrapNone/>
          <wp:docPr id="879170799" name="Graphic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69285063" name="Graphic 2"/>
                  <pic:cNvPicPr/>
                </pic:nvPicPr>
                <pic:blipFill>
                  <a:blip r:embed="rId2">
                    <a:extLs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48460" cy="10057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E08DA27" w14:textId="5BC8E3BE" w:rsidR="0059585C" w:rsidRPr="009F2853" w:rsidRDefault="0059585C" w:rsidP="009F2853">
    <w:pPr>
      <w:pStyle w:val="Header"/>
      <w:tabs>
        <w:tab w:val="left" w:pos="709"/>
      </w:tabs>
      <w:rPr>
        <w:color w:val="FFFFFF" w:themeColor="background1"/>
        <w:sz w:val="17"/>
        <w:szCs w:val="17"/>
      </w:rPr>
    </w:pPr>
    <w:r w:rsidRPr="009F2853">
      <w:rPr>
        <w:color w:val="FFFFFF" w:themeColor="background1"/>
        <w:sz w:val="20"/>
        <w:szCs w:val="20"/>
      </w:rPr>
      <w:t>/</w:t>
    </w:r>
    <w:r w:rsidRPr="009F2853">
      <w:rPr>
        <w:b/>
        <w:bCs/>
        <w:color w:val="FFFFFF" w:themeColor="background1"/>
        <w:sz w:val="20"/>
        <w:szCs w:val="20"/>
      </w:rPr>
      <w:tab/>
    </w:r>
    <w:r w:rsidR="005C2BC7">
      <w:rPr>
        <w:b/>
        <w:bCs/>
        <w:color w:val="FFFFFF" w:themeColor="background1"/>
        <w:sz w:val="20"/>
        <w:szCs w:val="20"/>
      </w:rPr>
      <w:t>[</w:t>
    </w:r>
    <w:r w:rsidR="009221E7" w:rsidRPr="009221E7">
      <w:rPr>
        <w:color w:val="FFFFFF" w:themeColor="background1"/>
        <w:sz w:val="20"/>
        <w:szCs w:val="20"/>
      </w:rPr>
      <w:t>13</w:t>
    </w:r>
    <w:r w:rsidR="009221E7">
      <w:rPr>
        <w:b/>
        <w:bCs/>
        <w:color w:val="FFFFFF" w:themeColor="background1"/>
        <w:sz w:val="20"/>
        <w:szCs w:val="20"/>
      </w:rPr>
      <w:t xml:space="preserve"> </w:t>
    </w:r>
    <w:r>
      <w:rPr>
        <w:color w:val="FFFFFF" w:themeColor="background1"/>
        <w:sz w:val="20"/>
        <w:szCs w:val="20"/>
      </w:rPr>
      <w:fldChar w:fldCharType="begin"/>
    </w:r>
    <w:r>
      <w:rPr>
        <w:color w:val="FFFFFF" w:themeColor="background1"/>
        <w:sz w:val="20"/>
        <w:szCs w:val="20"/>
      </w:rPr>
      <w:instrText xml:space="preserve"> DATE \@ "MMMM yyyy" </w:instrText>
    </w:r>
    <w:r>
      <w:rPr>
        <w:color w:val="FFFFFF" w:themeColor="background1"/>
        <w:sz w:val="20"/>
        <w:szCs w:val="20"/>
      </w:rPr>
      <w:fldChar w:fldCharType="separate"/>
    </w:r>
    <w:r w:rsidR="005C2BC7">
      <w:rPr>
        <w:noProof/>
        <w:color w:val="FFFFFF" w:themeColor="background1"/>
        <w:sz w:val="20"/>
        <w:szCs w:val="20"/>
      </w:rPr>
      <w:t>February 2026</w:t>
    </w:r>
    <w:r>
      <w:rPr>
        <w:color w:val="FFFFFF" w:themeColor="background1"/>
        <w:sz w:val="20"/>
        <w:szCs w:val="20"/>
      </w:rPr>
      <w:fldChar w:fldCharType="end"/>
    </w:r>
    <w:r w:rsidR="005C2BC7">
      <w:rPr>
        <w:color w:val="FFFFFF" w:themeColor="background1"/>
        <w:sz w:val="20"/>
        <w:szCs w:val="20"/>
      </w:rPr>
      <w:t>]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4050F8" w14:textId="77777777" w:rsidR="00E06BF0" w:rsidRPr="00E06BF0" w:rsidRDefault="00E06BF0" w:rsidP="00E06BF0">
    <w:pPr>
      <w:pStyle w:val="Header"/>
      <w:rPr>
        <w:color w:val="6961FF" w:themeColor="accent5"/>
      </w:rPr>
    </w:pPr>
    <w:r>
      <w:rPr>
        <w:noProof/>
      </w:rPr>
      <w:drawing>
        <wp:anchor distT="0" distB="0" distL="114300" distR="114300" simplePos="0" relativeHeight="251682816" behindDoc="1" locked="0" layoutInCell="1" allowOverlap="1" wp14:anchorId="05040D55" wp14:editId="448F6C5D">
          <wp:simplePos x="0" y="0"/>
          <wp:positionH relativeFrom="column">
            <wp:posOffset>5118100</wp:posOffset>
          </wp:positionH>
          <wp:positionV relativeFrom="page">
            <wp:posOffset>196215</wp:posOffset>
          </wp:positionV>
          <wp:extent cx="1648460" cy="1005840"/>
          <wp:effectExtent l="0" t="0" r="0" b="0"/>
          <wp:wrapNone/>
          <wp:docPr id="736572485" name="Graphic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65398906" name="Graphic 1065398906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48460" cy="10058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CCCFF6" w14:textId="77777777" w:rsidR="00566F95" w:rsidRPr="00E06BF0" w:rsidRDefault="0078270A" w:rsidP="00E06BF0">
    <w:pPr>
      <w:pStyle w:val="Header"/>
      <w:rPr>
        <w:color w:val="6961FF" w:themeColor="accent5"/>
      </w:rPr>
    </w:pPr>
    <w:r>
      <w:rPr>
        <w:noProof/>
      </w:rPr>
      <w:drawing>
        <wp:anchor distT="0" distB="0" distL="114300" distR="114300" simplePos="0" relativeHeight="251657213" behindDoc="1" locked="0" layoutInCell="1" allowOverlap="1" wp14:anchorId="1389A47A" wp14:editId="559106F9">
          <wp:simplePos x="0" y="0"/>
          <wp:positionH relativeFrom="column">
            <wp:posOffset>-538480</wp:posOffset>
          </wp:positionH>
          <wp:positionV relativeFrom="page">
            <wp:posOffset>0</wp:posOffset>
          </wp:positionV>
          <wp:extent cx="7560000" cy="10698594"/>
          <wp:effectExtent l="0" t="0" r="0" b="0"/>
          <wp:wrapNone/>
          <wp:docPr id="2024742411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4742411" name="Picture 202474241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59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66F95">
      <w:rPr>
        <w:noProof/>
      </w:rPr>
      <w:drawing>
        <wp:anchor distT="0" distB="0" distL="114300" distR="114300" simplePos="0" relativeHeight="251684864" behindDoc="1" locked="0" layoutInCell="1" allowOverlap="1" wp14:anchorId="0A97990A" wp14:editId="74D6D1EC">
          <wp:simplePos x="0" y="0"/>
          <wp:positionH relativeFrom="column">
            <wp:posOffset>5118100</wp:posOffset>
          </wp:positionH>
          <wp:positionV relativeFrom="page">
            <wp:posOffset>196215</wp:posOffset>
          </wp:positionV>
          <wp:extent cx="1648460" cy="1005840"/>
          <wp:effectExtent l="0" t="0" r="0" b="0"/>
          <wp:wrapNone/>
          <wp:docPr id="1835271749" name="Graphic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65398906" name="Graphic 1065398906"/>
                  <pic:cNvPicPr/>
                </pic:nvPicPr>
                <pic:blipFill>
                  <a:blip r:embed="rId2">
                    <a:extLs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48460" cy="10058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96022C"/>
    <w:multiLevelType w:val="hybridMultilevel"/>
    <w:tmpl w:val="401E11A2"/>
    <w:lvl w:ilvl="0" w:tplc="BC080D18">
      <w:start w:val="1"/>
      <w:numFmt w:val="bullet"/>
      <w:pStyle w:val="Bullets-Level1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auto"/>
        <w:sz w:val="17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5834E2"/>
    <w:multiLevelType w:val="hybridMultilevel"/>
    <w:tmpl w:val="F27C0B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C34AF"/>
    <w:multiLevelType w:val="hybridMultilevel"/>
    <w:tmpl w:val="C436F0DC"/>
    <w:lvl w:ilvl="0" w:tplc="C1DC8EEA">
      <w:start w:val="1"/>
      <w:numFmt w:val="bullet"/>
      <w:lvlText w:val=""/>
      <w:lvlJc w:val="left"/>
      <w:pPr>
        <w:ind w:left="720" w:hanging="36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auto"/>
        <w:sz w:val="17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2632879">
    <w:abstractNumId w:val="1"/>
  </w:num>
  <w:num w:numId="2" w16cid:durableId="1684865950">
    <w:abstractNumId w:val="2"/>
  </w:num>
  <w:num w:numId="3" w16cid:durableId="3347217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activeWritingStyle w:appName="MSWord" w:lang="en-AU" w:vendorID="64" w:dllVersion="0" w:nlCheck="1" w:checkStyle="0"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385"/>
    <w:rsid w:val="00086B72"/>
    <w:rsid w:val="000F371A"/>
    <w:rsid w:val="001B537F"/>
    <w:rsid w:val="001F5A7A"/>
    <w:rsid w:val="001F7F17"/>
    <w:rsid w:val="002C504D"/>
    <w:rsid w:val="002E6E5F"/>
    <w:rsid w:val="0031424C"/>
    <w:rsid w:val="003B5C75"/>
    <w:rsid w:val="004E6F9F"/>
    <w:rsid w:val="00565C0A"/>
    <w:rsid w:val="00566F95"/>
    <w:rsid w:val="0059585C"/>
    <w:rsid w:val="005B049C"/>
    <w:rsid w:val="005B47C9"/>
    <w:rsid w:val="005C2BC7"/>
    <w:rsid w:val="005F437C"/>
    <w:rsid w:val="005F6BAB"/>
    <w:rsid w:val="0078270A"/>
    <w:rsid w:val="007854C0"/>
    <w:rsid w:val="00813A49"/>
    <w:rsid w:val="00816E04"/>
    <w:rsid w:val="00886410"/>
    <w:rsid w:val="009221E7"/>
    <w:rsid w:val="009F2853"/>
    <w:rsid w:val="00A04757"/>
    <w:rsid w:val="00A635F9"/>
    <w:rsid w:val="00A65856"/>
    <w:rsid w:val="00AB08B8"/>
    <w:rsid w:val="00B005B1"/>
    <w:rsid w:val="00B16921"/>
    <w:rsid w:val="00B94B94"/>
    <w:rsid w:val="00BC1477"/>
    <w:rsid w:val="00BF2277"/>
    <w:rsid w:val="00BF28C2"/>
    <w:rsid w:val="00C10E2F"/>
    <w:rsid w:val="00C326B4"/>
    <w:rsid w:val="00C36E69"/>
    <w:rsid w:val="00C474CC"/>
    <w:rsid w:val="00CD79CA"/>
    <w:rsid w:val="00D056C1"/>
    <w:rsid w:val="00D37810"/>
    <w:rsid w:val="00D473B4"/>
    <w:rsid w:val="00D52BC0"/>
    <w:rsid w:val="00E06BF0"/>
    <w:rsid w:val="00ED6385"/>
    <w:rsid w:val="00F152B8"/>
    <w:rsid w:val="00F50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AF1237"/>
  <w15:chartTrackingRefBased/>
  <w15:docId w15:val="{A4D7EE5A-70ED-4D8B-8F90-F61101005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6F95"/>
    <w:pPr>
      <w:keepNext/>
      <w:keepLines/>
      <w:spacing w:after="360" w:line="204" w:lineRule="auto"/>
      <w:outlineLvl w:val="0"/>
    </w:pPr>
    <w:rPr>
      <w:rFonts w:ascii="Onest SemiBold" w:eastAsiaTheme="majorEastAsia" w:hAnsi="Onest SemiBold" w:cs="Times New Roman (Headings CS)"/>
      <w:b/>
      <w:color w:val="00457C" w:themeColor="accent1"/>
      <w:spacing w:val="-8"/>
      <w:sz w:val="5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6E5F"/>
    <w:pPr>
      <w:spacing w:after="160" w:line="216" w:lineRule="auto"/>
      <w:outlineLvl w:val="1"/>
    </w:pPr>
    <w:rPr>
      <w:rFonts w:ascii="Onest SemiBold" w:hAnsi="Onest SemiBold"/>
      <w:b/>
      <w:bCs/>
      <w:color w:val="00457C" w:themeColor="accent1"/>
      <w:sz w:val="26"/>
      <w:szCs w:val="26"/>
    </w:rPr>
  </w:style>
  <w:style w:type="paragraph" w:styleId="Heading3">
    <w:name w:val="heading 3"/>
    <w:basedOn w:val="BodyCopy"/>
    <w:next w:val="Normal"/>
    <w:link w:val="Heading3Char"/>
    <w:uiPriority w:val="9"/>
    <w:unhideWhenUsed/>
    <w:qFormat/>
    <w:rsid w:val="00A635F9"/>
    <w:pPr>
      <w:outlineLvl w:val="2"/>
    </w:pPr>
    <w:rPr>
      <w:rFonts w:ascii="Onest SemiBold" w:hAnsi="Onest SemiBold"/>
      <w:b/>
      <w:bCs/>
      <w:sz w:val="20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14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0335C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1477"/>
    <w:pPr>
      <w:keepNext/>
      <w:keepLines/>
      <w:spacing w:before="80" w:after="40"/>
      <w:outlineLvl w:val="4"/>
    </w:pPr>
    <w:rPr>
      <w:rFonts w:eastAsiaTheme="majorEastAsia" w:cstheme="majorBidi"/>
      <w:color w:val="00335C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1477"/>
    <w:pPr>
      <w:keepNext/>
      <w:keepLines/>
      <w:spacing w:before="40"/>
      <w:outlineLvl w:val="5"/>
    </w:pPr>
    <w:rPr>
      <w:rFonts w:eastAsiaTheme="majorEastAsia" w:cstheme="majorBidi"/>
      <w:i/>
      <w:iCs/>
      <w:color w:val="79797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1477"/>
    <w:pPr>
      <w:keepNext/>
      <w:keepLines/>
      <w:spacing w:before="40"/>
      <w:outlineLvl w:val="6"/>
    </w:pPr>
    <w:rPr>
      <w:rFonts w:eastAsiaTheme="majorEastAsia" w:cstheme="majorBidi"/>
      <w:color w:val="79797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1477"/>
    <w:pPr>
      <w:keepNext/>
      <w:keepLines/>
      <w:outlineLvl w:val="7"/>
    </w:pPr>
    <w:rPr>
      <w:rFonts w:eastAsiaTheme="majorEastAsia" w:cstheme="majorBidi"/>
      <w:i/>
      <w:iCs/>
      <w:color w:val="515151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1477"/>
    <w:pPr>
      <w:keepNext/>
      <w:keepLines/>
      <w:outlineLvl w:val="8"/>
    </w:pPr>
    <w:rPr>
      <w:rFonts w:eastAsiaTheme="majorEastAsia" w:cstheme="majorBidi"/>
      <w:color w:val="515151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6F95"/>
    <w:rPr>
      <w:rFonts w:ascii="Onest SemiBold" w:eastAsiaTheme="majorEastAsia" w:hAnsi="Onest SemiBold" w:cs="Times New Roman (Headings CS)"/>
      <w:b/>
      <w:color w:val="00457C" w:themeColor="accent1"/>
      <w:spacing w:val="-8"/>
      <w:sz w:val="5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E6E5F"/>
    <w:rPr>
      <w:rFonts w:ascii="Onest SemiBold" w:hAnsi="Onest SemiBold"/>
      <w:b/>
      <w:bCs/>
      <w:color w:val="00457C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635F9"/>
    <w:rPr>
      <w:rFonts w:ascii="Onest SemiBold" w:hAnsi="Onest SemiBold"/>
      <w:b/>
      <w:bCs/>
      <w:color w:val="323232" w:themeColor="text1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1477"/>
    <w:rPr>
      <w:rFonts w:eastAsiaTheme="majorEastAsia" w:cstheme="majorBidi"/>
      <w:i/>
      <w:iCs/>
      <w:color w:val="00335C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1477"/>
    <w:rPr>
      <w:rFonts w:eastAsiaTheme="majorEastAsia" w:cstheme="majorBidi"/>
      <w:color w:val="00335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1477"/>
    <w:rPr>
      <w:rFonts w:eastAsiaTheme="majorEastAsia" w:cstheme="majorBidi"/>
      <w:i/>
      <w:iCs/>
      <w:color w:val="79797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1477"/>
    <w:rPr>
      <w:rFonts w:eastAsiaTheme="majorEastAsia" w:cstheme="majorBidi"/>
      <w:color w:val="79797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1477"/>
    <w:rPr>
      <w:rFonts w:eastAsiaTheme="majorEastAsia" w:cstheme="majorBidi"/>
      <w:i/>
      <w:iCs/>
      <w:color w:val="515151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1477"/>
    <w:rPr>
      <w:rFonts w:eastAsiaTheme="majorEastAsia" w:cstheme="majorBidi"/>
      <w:color w:val="515151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147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14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1477"/>
    <w:pPr>
      <w:numPr>
        <w:ilvl w:val="1"/>
      </w:numPr>
      <w:spacing w:after="160"/>
    </w:pPr>
    <w:rPr>
      <w:rFonts w:eastAsiaTheme="majorEastAsia" w:cstheme="majorBidi"/>
      <w:color w:val="79797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1477"/>
    <w:rPr>
      <w:rFonts w:eastAsiaTheme="majorEastAsia" w:cstheme="majorBidi"/>
      <w:color w:val="79797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1477"/>
    <w:pPr>
      <w:spacing w:before="160" w:after="160"/>
      <w:jc w:val="center"/>
    </w:pPr>
    <w:rPr>
      <w:i/>
      <w:iCs/>
      <w:color w:val="656565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1477"/>
    <w:rPr>
      <w:i/>
      <w:iCs/>
      <w:color w:val="656565" w:themeColor="text1" w:themeTint="BF"/>
    </w:rPr>
  </w:style>
  <w:style w:type="paragraph" w:styleId="ListParagraph">
    <w:name w:val="List Paragraph"/>
    <w:basedOn w:val="Normal"/>
    <w:uiPriority w:val="34"/>
    <w:qFormat/>
    <w:rsid w:val="00BC14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1477"/>
    <w:rPr>
      <w:i/>
      <w:iCs/>
      <w:color w:val="00335C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1477"/>
    <w:pPr>
      <w:pBdr>
        <w:top w:val="single" w:sz="4" w:space="10" w:color="00335C" w:themeColor="accent1" w:themeShade="BF"/>
        <w:bottom w:val="single" w:sz="4" w:space="10" w:color="00335C" w:themeColor="accent1" w:themeShade="BF"/>
      </w:pBdr>
      <w:spacing w:before="360" w:after="360"/>
      <w:ind w:left="864" w:right="864"/>
      <w:jc w:val="center"/>
    </w:pPr>
    <w:rPr>
      <w:i/>
      <w:iCs/>
      <w:color w:val="00335C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1477"/>
    <w:rPr>
      <w:i/>
      <w:iCs/>
      <w:color w:val="00335C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1477"/>
    <w:rPr>
      <w:b/>
      <w:bCs/>
      <w:smallCaps/>
      <w:color w:val="00335C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C147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C1477"/>
  </w:style>
  <w:style w:type="paragraph" w:styleId="Footer">
    <w:name w:val="footer"/>
    <w:basedOn w:val="Normal"/>
    <w:link w:val="FooterChar"/>
    <w:uiPriority w:val="99"/>
    <w:unhideWhenUsed/>
    <w:rsid w:val="00BC147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C1477"/>
  </w:style>
  <w:style w:type="paragraph" w:customStyle="1" w:styleId="DocumentTitle">
    <w:name w:val="Document Title"/>
    <w:basedOn w:val="Heading1"/>
    <w:qFormat/>
    <w:rsid w:val="00D056C1"/>
    <w:pPr>
      <w:ind w:left="709"/>
    </w:pPr>
    <w:rPr>
      <w:bCs/>
      <w:color w:val="FFFFFF" w:themeColor="background1"/>
      <w:sz w:val="46"/>
      <w:szCs w:val="46"/>
    </w:rPr>
  </w:style>
  <w:style w:type="character" w:styleId="PageNumber">
    <w:name w:val="page number"/>
    <w:basedOn w:val="DefaultParagraphFont"/>
    <w:uiPriority w:val="99"/>
    <w:semiHidden/>
    <w:unhideWhenUsed/>
    <w:rsid w:val="00E06BF0"/>
  </w:style>
  <w:style w:type="table" w:styleId="TableGrid">
    <w:name w:val="Table Grid"/>
    <w:basedOn w:val="TableNormal"/>
    <w:uiPriority w:val="39"/>
    <w:rsid w:val="007854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Copy">
    <w:name w:val="Body Copy"/>
    <w:basedOn w:val="Normal"/>
    <w:qFormat/>
    <w:rsid w:val="00A635F9"/>
    <w:pPr>
      <w:spacing w:after="160" w:line="216" w:lineRule="auto"/>
    </w:pPr>
    <w:rPr>
      <w:color w:val="323232" w:themeColor="text1"/>
      <w:sz w:val="17"/>
      <w:szCs w:val="17"/>
    </w:rPr>
  </w:style>
  <w:style w:type="paragraph" w:styleId="FootnoteText">
    <w:name w:val="footnote text"/>
    <w:basedOn w:val="Normal"/>
    <w:link w:val="FootnoteTextChar"/>
    <w:uiPriority w:val="99"/>
    <w:unhideWhenUsed/>
    <w:rsid w:val="00BF2277"/>
    <w:rPr>
      <w:color w:val="989898" w:themeColor="text1" w:themeTint="80"/>
      <w:sz w:val="13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BF2277"/>
    <w:rPr>
      <w:color w:val="989898" w:themeColor="text1" w:themeTint="80"/>
      <w:sz w:val="13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F2277"/>
    <w:rPr>
      <w:vertAlign w:val="superscript"/>
    </w:rPr>
  </w:style>
  <w:style w:type="paragraph" w:customStyle="1" w:styleId="Bullets-Level1">
    <w:name w:val="Bullets - Level 1"/>
    <w:basedOn w:val="BodyCopy"/>
    <w:qFormat/>
    <w:rsid w:val="00D52BC0"/>
    <w:pPr>
      <w:numPr>
        <w:numId w:val="3"/>
      </w:numPr>
      <w:ind w:left="284" w:hanging="28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sv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svg"/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5.svg"/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https://alceon.sharepoint.com/sites/AlceonOfficeTemplates2/Office%20Templates/Alceon%20Word%20Template.dotx" TargetMode="External"/></Relationships>
</file>

<file path=word/theme/theme1.xml><?xml version="1.0" encoding="utf-8"?>
<a:theme xmlns:a="http://schemas.openxmlformats.org/drawingml/2006/main" name="Alceon_PPT-theme">
  <a:themeElements>
    <a:clrScheme name="Alceon">
      <a:dk1>
        <a:srgbClr val="323232"/>
      </a:dk1>
      <a:lt1>
        <a:srgbClr val="FFFFFF"/>
      </a:lt1>
      <a:dk2>
        <a:srgbClr val="003763"/>
      </a:dk2>
      <a:lt2>
        <a:srgbClr val="E6E6E6"/>
      </a:lt2>
      <a:accent1>
        <a:srgbClr val="00457C"/>
      </a:accent1>
      <a:accent2>
        <a:srgbClr val="009DE6"/>
      </a:accent2>
      <a:accent3>
        <a:srgbClr val="E4CEA2"/>
      </a:accent3>
      <a:accent4>
        <a:srgbClr val="B07D3D"/>
      </a:accent4>
      <a:accent5>
        <a:srgbClr val="6961FF"/>
      </a:accent5>
      <a:accent6>
        <a:srgbClr val="7049A7"/>
      </a:accent6>
      <a:hlink>
        <a:srgbClr val="155CD5"/>
      </a:hlink>
      <a:folHlink>
        <a:srgbClr val="7049A7"/>
      </a:folHlink>
    </a:clrScheme>
    <a:fontScheme name="Alceon">
      <a:majorFont>
        <a:latin typeface="Onest"/>
        <a:ea typeface=""/>
        <a:cs typeface=""/>
      </a:majorFont>
      <a:minorFont>
        <a:latin typeface="Onest"/>
        <a:ea typeface=""/>
        <a:cs typeface="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custClrLst>
    <a:custClr name="Custom Color 1">
      <a:srgbClr val="CCCCCC"/>
    </a:custClr>
    <a:custClr name="Custom Color 2">
      <a:srgbClr val="F2704D"/>
    </a:custClr>
    <a:custClr name="Custom Color 3">
      <a:srgbClr val="003763"/>
    </a:custClr>
    <a:custClr name="Custom Color 4">
      <a:srgbClr val="155CD5"/>
    </a:custClr>
    <a:custClr name="Custom Color 5">
      <a:srgbClr val="E6E6E6"/>
    </a:custClr>
  </a:custClrLst>
  <a:extLst>
    <a:ext uri="{05A4C25C-085E-4340-85A3-A5531E510DB2}">
      <thm15:themeFamily xmlns:thm15="http://schemas.microsoft.com/office/thememl/2012/main" name="Alceon_PPT-theme" id="{EBBA1AE9-44F3-4C2B-9398-4DD9D28A5B89}" vid="{784F6A96-19CD-4413-9001-69D29F6AB4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a759c15-d875-415a-b1f6-d68b27c58274" xsi:nil="true"/>
    <lcf76f155ced4ddcb4097134ff3c332f xmlns="cae67037-1a4a-491d-ab64-160652172601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392574B600F141828FE9983FCCA652" ma:contentTypeVersion="11" ma:contentTypeDescription="Create a new document." ma:contentTypeScope="" ma:versionID="b27cd1d082a9358cad95058ede6bf346">
  <xsd:schema xmlns:xsd="http://www.w3.org/2001/XMLSchema" xmlns:xs="http://www.w3.org/2001/XMLSchema" xmlns:p="http://schemas.microsoft.com/office/2006/metadata/properties" xmlns:ns2="cae67037-1a4a-491d-ab64-160652172601" xmlns:ns3="aa759c15-d875-415a-b1f6-d68b27c58274" targetNamespace="http://schemas.microsoft.com/office/2006/metadata/properties" ma:root="true" ma:fieldsID="98274924fbaeeef72f5b2cc39cd8c843" ns2:_="" ns3:_="">
    <xsd:import namespace="cae67037-1a4a-491d-ab64-160652172601"/>
    <xsd:import namespace="aa759c15-d875-415a-b1f6-d68b27c5827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e67037-1a4a-491d-ab64-16065217260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dfbfec69-58a0-499a-a525-873303281e9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759c15-d875-415a-b1f6-d68b27c58274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f6bca7b2-d11c-4d7d-ae54-50ab6dc018de}" ma:internalName="TaxCatchAll" ma:showField="CatchAllData" ma:web="aa759c15-d875-415a-b1f6-d68b27c5827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B87FA79-5191-4280-BA49-CB6BA6AE1129}">
  <ds:schemaRefs>
    <ds:schemaRef ds:uri="aa759c15-d875-415a-b1f6-d68b27c58274"/>
    <ds:schemaRef ds:uri="http://purl.org/dc/elements/1.1/"/>
    <ds:schemaRef ds:uri="cae67037-1a4a-491d-ab64-160652172601"/>
    <ds:schemaRef ds:uri="http://schemas.microsoft.com/office/2006/documentManagement/types"/>
    <ds:schemaRef ds:uri="http://schemas.microsoft.com/office/infopath/2007/PartnerControls"/>
    <ds:schemaRef ds:uri="http://purl.org/dc/terms/"/>
    <ds:schemaRef ds:uri="http://schemas.openxmlformats.org/package/2006/metadata/core-properties"/>
    <ds:schemaRef ds:uri="http://schemas.microsoft.com/office/2006/metadata/properti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D8E9382B-0DEF-4833-8BC8-B1697787798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A02AB70-28B1-4B27-9457-9282629824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ae67037-1a4a-491d-ab64-160652172601"/>
    <ds:schemaRef ds:uri="aa759c15-d875-415a-b1f6-d68b27c5827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B8E8D21-0A8B-CF46-A984-1F57DD934C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Alceon%20Word%20Template.dotx</Template>
  <TotalTime>0</TotalTime>
  <Pages>3</Pages>
  <Words>342</Words>
  <Characters>1952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Deakin</dc:creator>
  <cp:keywords/>
  <dc:description/>
  <cp:lastModifiedBy>Joel Deakin</cp:lastModifiedBy>
  <cp:revision>2</cp:revision>
  <dcterms:created xsi:type="dcterms:W3CDTF">2026-02-15T04:35:00Z</dcterms:created>
  <dcterms:modified xsi:type="dcterms:W3CDTF">2026-02-15T04:35:00Z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0x01010097392574B600F141828FE9983FCCA652</vt:lpwstr>
  </property>
  <property fmtid="{D5CDD505-2E9C-101B-9397-08002B2CF9AE}" pid="3" name="MediaServiceImageTags">
    <vt:lpwstr/>
  </property>
</Properties>
</file>